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14" w:rsidRPr="00AA744D" w:rsidRDefault="006448B0" w:rsidP="00021814">
      <w:pPr>
        <w:pStyle w:val="Web"/>
        <w:spacing w:line="408" w:lineRule="auto"/>
        <w:jc w:val="center"/>
        <w:rPr>
          <w:rFonts w:ascii="Times New Roman" w:eastAsia="DFKai-SB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82638C">
        <w:rPr>
          <w:rFonts w:asciiTheme="minorEastAsia" w:eastAsia="SimSun" w:hAnsiTheme="minorEastAsia" w:cs="Times New Roman" w:hint="eastAsia"/>
          <w:b/>
          <w:color w:val="000000" w:themeColor="text1"/>
          <w:sz w:val="28"/>
          <w:szCs w:val="28"/>
          <w:lang w:eastAsia="zh-CN"/>
        </w:rPr>
        <w:t>首都经济贸易</w:t>
      </w:r>
      <w:r w:rsidRPr="00500A69">
        <w:rPr>
          <w:rFonts w:ascii="Times New Roman" w:eastAsia="SimSun" w:hAnsi="DFKai-SB" w:cs="Times New Roman" w:hint="eastAsia"/>
          <w:b/>
          <w:color w:val="000000" w:themeColor="text1"/>
          <w:sz w:val="28"/>
          <w:szCs w:val="28"/>
          <w:lang w:eastAsia="zh-CN"/>
        </w:rPr>
        <w:t>大学与</w:t>
      </w:r>
      <w:r w:rsidR="00E00523" w:rsidRPr="00E00523">
        <w:rPr>
          <w:rFonts w:asciiTheme="minorEastAsia" w:eastAsia="SimSun" w:hAnsiTheme="minorEastAsia" w:cs="Times New Roman" w:hint="eastAsia"/>
          <w:b/>
          <w:color w:val="000000" w:themeColor="text1"/>
          <w:sz w:val="28"/>
          <w:szCs w:val="28"/>
          <w:lang w:eastAsia="zh-CN"/>
        </w:rPr>
        <w:t>国立</w:t>
      </w:r>
      <w:r w:rsidRPr="00500A69">
        <w:rPr>
          <w:rFonts w:ascii="Times New Roman" w:eastAsia="SimSun" w:hAnsi="DFKai-SB" w:cs="Times New Roman" w:hint="eastAsia"/>
          <w:b/>
          <w:color w:val="000000" w:themeColor="text1"/>
          <w:sz w:val="28"/>
          <w:szCs w:val="28"/>
          <w:lang w:eastAsia="zh-CN"/>
        </w:rPr>
        <w:t>台南大学</w:t>
      </w:r>
    </w:p>
    <w:p w:rsidR="00021814" w:rsidRPr="00AA744D" w:rsidRDefault="006448B0" w:rsidP="00021814">
      <w:pPr>
        <w:snapToGrid w:val="0"/>
        <w:jc w:val="center"/>
        <w:rPr>
          <w:rFonts w:eastAsia="DFKai-SB"/>
          <w:b/>
          <w:color w:val="000000" w:themeColor="text1"/>
          <w:sz w:val="28"/>
          <w:szCs w:val="28"/>
          <w:lang w:eastAsia="zh-CN"/>
        </w:rPr>
      </w:pPr>
      <w:r w:rsidRPr="00500A69">
        <w:rPr>
          <w:rFonts w:eastAsia="SimSun" w:hAnsi="DFKai-SB" w:hint="eastAsia"/>
          <w:b/>
          <w:color w:val="000000" w:themeColor="text1"/>
          <w:sz w:val="28"/>
          <w:szCs w:val="28"/>
          <w:lang w:eastAsia="zh-CN"/>
        </w:rPr>
        <w:t>学生交流项目协议书</w:t>
      </w:r>
    </w:p>
    <w:p w:rsidR="00021814" w:rsidRPr="00AA744D" w:rsidRDefault="00021814" w:rsidP="00021814">
      <w:pPr>
        <w:rPr>
          <w:rFonts w:eastAsia="DFKai-SB"/>
          <w:color w:val="000000" w:themeColor="text1"/>
          <w:lang w:eastAsia="zh-CN"/>
        </w:rPr>
      </w:pPr>
    </w:p>
    <w:p w:rsidR="00021814" w:rsidRPr="00CA1270" w:rsidRDefault="006448B0" w:rsidP="00021814">
      <w:pPr>
        <w:ind w:leftChars="75" w:left="180" w:rightChars="127" w:right="305"/>
        <w:jc w:val="both"/>
        <w:rPr>
          <w:color w:val="000000" w:themeColor="text1"/>
          <w:lang w:eastAsia="zh-CN"/>
        </w:rPr>
      </w:pPr>
      <w:r w:rsidRPr="0082638C">
        <w:rPr>
          <w:rFonts w:asciiTheme="minorEastAsia" w:eastAsia="SimSun" w:hAnsiTheme="minorEastAsia" w:hint="eastAsia"/>
          <w:color w:val="000000" w:themeColor="text1"/>
          <w:lang w:eastAsia="zh-CN"/>
        </w:rPr>
        <w:t>首都经济贸易</w:t>
      </w:r>
      <w:r w:rsidRPr="00500A69">
        <w:rPr>
          <w:rFonts w:eastAsia="SimSun" w:hAnsi="DFKai-SB" w:hint="eastAsia"/>
          <w:color w:val="000000" w:themeColor="text1"/>
          <w:lang w:eastAsia="zh-CN"/>
        </w:rPr>
        <w:t>大学与</w:t>
      </w:r>
      <w:r w:rsidR="00E00523" w:rsidRPr="00E00523">
        <w:rPr>
          <w:rFonts w:asciiTheme="minorEastAsia" w:eastAsia="SimSun" w:hAnsiTheme="minorEastAsia" w:hint="eastAsia"/>
          <w:color w:val="000000" w:themeColor="text1"/>
          <w:lang w:eastAsia="zh-CN"/>
        </w:rPr>
        <w:t>国立</w:t>
      </w:r>
      <w:r w:rsidRPr="00500A69">
        <w:rPr>
          <w:rFonts w:eastAsia="SimSun" w:hAnsi="DFKai-SB" w:hint="eastAsia"/>
          <w:color w:val="000000" w:themeColor="text1"/>
          <w:lang w:eastAsia="zh-CN"/>
        </w:rPr>
        <w:t>台南大学在友好交流合作的基础上，就学生交流项目达成以下协议。本协议书中接待院校即为接待交流学生之院校，而原属院校则为送出交流学生之院校。</w:t>
      </w:r>
    </w:p>
    <w:p w:rsidR="00021814" w:rsidRPr="00AA744D" w:rsidRDefault="00021814" w:rsidP="00021814">
      <w:pPr>
        <w:ind w:rightChars="127" w:right="305"/>
        <w:jc w:val="both"/>
        <w:rPr>
          <w:rFonts w:eastAsia="DFKai-SB"/>
          <w:color w:val="000000" w:themeColor="text1"/>
          <w:lang w:eastAsia="zh-CN"/>
        </w:rPr>
      </w:pPr>
    </w:p>
    <w:p w:rsidR="00021814" w:rsidRPr="00AA744D" w:rsidRDefault="006448B0" w:rsidP="00021814">
      <w:pPr>
        <w:numPr>
          <w:ilvl w:val="0"/>
          <w:numId w:val="5"/>
        </w:numPr>
        <w:ind w:rightChars="127" w:right="305"/>
        <w:jc w:val="both"/>
        <w:rPr>
          <w:rFonts w:eastAsia="DFKai-SB"/>
          <w:color w:val="000000" w:themeColor="text1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目的</w:t>
      </w:r>
    </w:p>
    <w:p w:rsidR="00021814" w:rsidRPr="00AA744D" w:rsidRDefault="006448B0" w:rsidP="00021814">
      <w:pPr>
        <w:ind w:leftChars="375" w:left="90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本协议是为</w:t>
      </w:r>
      <w:r w:rsidRPr="0082638C">
        <w:rPr>
          <w:rFonts w:asciiTheme="minorEastAsia" w:eastAsia="SimSun" w:hAnsiTheme="minorEastAsia" w:hint="eastAsia"/>
          <w:color w:val="000000" w:themeColor="text1"/>
          <w:lang w:eastAsia="zh-CN"/>
        </w:rPr>
        <w:t>首都经济贸易</w:t>
      </w:r>
      <w:r w:rsidRPr="00500A69">
        <w:rPr>
          <w:rFonts w:eastAsia="SimSun" w:hAnsi="DFKai-SB" w:hint="eastAsia"/>
          <w:color w:val="000000" w:themeColor="text1"/>
          <w:lang w:eastAsia="zh-CN"/>
        </w:rPr>
        <w:t>大学与</w:t>
      </w:r>
      <w:r w:rsidR="00E00523" w:rsidRPr="00E00523">
        <w:rPr>
          <w:rFonts w:asciiTheme="minorEastAsia" w:eastAsia="SimSun" w:hAnsiTheme="minorEastAsia" w:hint="eastAsia"/>
          <w:color w:val="000000" w:themeColor="text1"/>
          <w:lang w:eastAsia="zh-CN"/>
        </w:rPr>
        <w:t>国立</w:t>
      </w:r>
      <w:r w:rsidRPr="00500A69">
        <w:rPr>
          <w:rFonts w:eastAsia="SimSun" w:hAnsi="DFKai-SB" w:hint="eastAsia"/>
          <w:color w:val="000000" w:themeColor="text1"/>
          <w:lang w:eastAsia="zh-CN"/>
        </w:rPr>
        <w:t>台南大学合作的学生交流项目订下相关规条。</w:t>
      </w:r>
    </w:p>
    <w:p w:rsidR="00021814" w:rsidRPr="00AA744D" w:rsidRDefault="00021814" w:rsidP="00021814">
      <w:pPr>
        <w:ind w:left="960" w:rightChars="127" w:right="305" w:firstLineChars="450" w:firstLine="1080"/>
        <w:jc w:val="both"/>
        <w:rPr>
          <w:rFonts w:eastAsia="DFKai-SB"/>
          <w:color w:val="000000" w:themeColor="text1"/>
          <w:lang w:eastAsia="zh-CN"/>
        </w:rPr>
      </w:pPr>
    </w:p>
    <w:p w:rsidR="00021814" w:rsidRPr="00AA744D" w:rsidRDefault="006448B0" w:rsidP="00021814">
      <w:pPr>
        <w:numPr>
          <w:ilvl w:val="0"/>
          <w:numId w:val="5"/>
        </w:numPr>
        <w:ind w:rightChars="127" w:right="305"/>
        <w:jc w:val="both"/>
        <w:rPr>
          <w:rFonts w:eastAsia="DFKai-SB"/>
          <w:color w:val="000000" w:themeColor="text1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协议期限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本协议自签字该日起生效，为期</w:t>
      </w:r>
      <w:r w:rsidRPr="006448B0">
        <w:rPr>
          <w:rFonts w:asciiTheme="minorEastAsia" w:eastAsia="SimSun" w:hAnsiTheme="minorEastAsia"/>
          <w:color w:val="000000" w:themeColor="text1"/>
          <w:lang w:eastAsia="zh-CN"/>
        </w:rPr>
        <w:t>5</w:t>
      </w:r>
      <w:r w:rsidRPr="00500A69">
        <w:rPr>
          <w:rFonts w:eastAsia="SimSun" w:hAnsi="DFKai-SB" w:hint="eastAsia"/>
          <w:color w:val="000000" w:themeColor="text1"/>
          <w:lang w:eastAsia="zh-CN"/>
        </w:rPr>
        <w:t>年。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协议若有任何修改，必须获得双方院校书面同意。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6448B0">
        <w:rPr>
          <w:rFonts w:asciiTheme="minorEastAsia" w:eastAsia="SimSun" w:hAnsiTheme="minorEastAsia"/>
          <w:color w:val="000000" w:themeColor="text1"/>
          <w:lang w:eastAsia="zh-CN"/>
        </w:rPr>
        <w:t>5</w:t>
      </w:r>
      <w:r w:rsidRPr="00500A69">
        <w:rPr>
          <w:rFonts w:eastAsia="SimSun" w:hAnsi="DFKai-SB" w:hint="eastAsia"/>
          <w:color w:val="000000" w:themeColor="text1"/>
          <w:lang w:eastAsia="zh-CN"/>
        </w:rPr>
        <w:t>年协议期限过后，由双方院校评估项目执行情况，并协商是否续签新协议。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双方院校保留终止本协议的权利，并须于终止协议前</w:t>
      </w:r>
      <w:r w:rsidRPr="00500A69">
        <w:rPr>
          <w:rFonts w:eastAsia="SimSun"/>
          <w:color w:val="000000" w:themeColor="text1"/>
          <w:lang w:eastAsia="zh-CN"/>
        </w:rPr>
        <w:t>6</w:t>
      </w:r>
      <w:r w:rsidRPr="00500A69">
        <w:rPr>
          <w:rFonts w:eastAsia="SimSun" w:hAnsi="DFKai-SB" w:hint="eastAsia"/>
          <w:color w:val="000000" w:themeColor="text1"/>
          <w:lang w:eastAsia="zh-CN"/>
        </w:rPr>
        <w:t>个月通知对方院校。</w:t>
      </w:r>
    </w:p>
    <w:p w:rsidR="00021814" w:rsidRPr="00AA744D" w:rsidRDefault="00021814" w:rsidP="00021814">
      <w:pPr>
        <w:ind w:left="960" w:rightChars="127" w:right="305" w:firstLineChars="450" w:firstLine="1080"/>
        <w:jc w:val="both"/>
        <w:rPr>
          <w:rFonts w:eastAsia="DFKai-SB"/>
          <w:color w:val="000000" w:themeColor="text1"/>
          <w:lang w:eastAsia="zh-CN"/>
        </w:rPr>
      </w:pPr>
    </w:p>
    <w:p w:rsidR="00021814" w:rsidRPr="00AA744D" w:rsidRDefault="006448B0" w:rsidP="00021814">
      <w:pPr>
        <w:numPr>
          <w:ilvl w:val="0"/>
          <w:numId w:val="5"/>
        </w:numPr>
        <w:ind w:rightChars="127" w:right="305"/>
        <w:jc w:val="both"/>
        <w:rPr>
          <w:rFonts w:eastAsia="DFKai-SB"/>
          <w:color w:val="000000" w:themeColor="text1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交流时间</w:t>
      </w:r>
    </w:p>
    <w:p w:rsidR="00021814" w:rsidRPr="00574A8F" w:rsidRDefault="006448B0" w:rsidP="00021814">
      <w:pPr>
        <w:ind w:leftChars="375" w:left="900" w:rightChars="127" w:right="305"/>
        <w:jc w:val="both"/>
      </w:pPr>
      <w:r w:rsidRPr="00500A69">
        <w:rPr>
          <w:rFonts w:eastAsia="SimSun" w:hAnsi="DFKai-SB" w:hint="eastAsia"/>
          <w:color w:val="000000" w:themeColor="text1"/>
          <w:lang w:eastAsia="zh-CN"/>
        </w:rPr>
        <w:t>学生交流活动于</w:t>
      </w:r>
      <w:r w:rsidRPr="00500A69">
        <w:rPr>
          <w:rFonts w:eastAsia="SimSun"/>
          <w:color w:val="000000" w:themeColor="text1"/>
          <w:lang w:eastAsia="zh-CN"/>
        </w:rPr>
        <w:t>2</w:t>
      </w:r>
      <w:r w:rsidRPr="00CA1270">
        <w:rPr>
          <w:rFonts w:eastAsia="SimSun"/>
          <w:color w:val="000000" w:themeColor="text1"/>
          <w:lang w:eastAsia="zh-CN"/>
        </w:rPr>
        <w:t>01</w:t>
      </w:r>
      <w:r w:rsidRPr="006448B0">
        <w:rPr>
          <w:rFonts w:eastAsia="SimSun"/>
          <w:color w:val="000000" w:themeColor="text1"/>
          <w:lang w:eastAsia="zh-CN"/>
        </w:rPr>
        <w:t>5</w:t>
      </w:r>
      <w:r w:rsidRPr="00500A69">
        <w:rPr>
          <w:rFonts w:eastAsia="SimSun" w:hAnsi="DFKai-SB" w:hint="eastAsia"/>
          <w:color w:val="000000" w:themeColor="text1"/>
          <w:lang w:eastAsia="zh-CN"/>
        </w:rPr>
        <w:t>年开始，在本协议下每次交流活动将为</w:t>
      </w:r>
      <w:r w:rsidRPr="00574A8F">
        <w:rPr>
          <w:rFonts w:hint="eastAsia"/>
        </w:rPr>
        <w:t>期</w:t>
      </w:r>
      <w:r w:rsidRPr="00574A8F">
        <w:t>1</w:t>
      </w:r>
      <w:r w:rsidRPr="00574A8F">
        <w:rPr>
          <w:rFonts w:hint="eastAsia"/>
        </w:rPr>
        <w:t>个学期或</w:t>
      </w:r>
      <w:r w:rsidRPr="00574A8F">
        <w:t>1</w:t>
      </w:r>
      <w:r w:rsidRPr="00574A8F">
        <w:rPr>
          <w:rFonts w:hint="eastAsia"/>
        </w:rPr>
        <w:t>个学年。</w:t>
      </w:r>
    </w:p>
    <w:p w:rsidR="00021814" w:rsidRPr="00AA744D" w:rsidRDefault="00021814" w:rsidP="00021814">
      <w:pPr>
        <w:ind w:left="960" w:rightChars="127" w:right="305" w:firstLineChars="450" w:firstLine="1080"/>
        <w:jc w:val="both"/>
        <w:rPr>
          <w:rFonts w:eastAsia="DFKai-SB"/>
          <w:color w:val="000000" w:themeColor="text1"/>
          <w:lang w:eastAsia="zh-CN"/>
        </w:rPr>
      </w:pPr>
      <w:bookmarkStart w:id="0" w:name="_GoBack"/>
      <w:bookmarkEnd w:id="0"/>
    </w:p>
    <w:p w:rsidR="00021814" w:rsidRPr="00AA744D" w:rsidRDefault="006448B0" w:rsidP="00021814">
      <w:pPr>
        <w:numPr>
          <w:ilvl w:val="0"/>
          <w:numId w:val="5"/>
        </w:numPr>
        <w:ind w:rightChars="127" w:right="305"/>
        <w:jc w:val="both"/>
        <w:rPr>
          <w:rFonts w:eastAsia="DFKai-SB"/>
          <w:color w:val="000000" w:themeColor="text1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学生人数</w:t>
      </w:r>
    </w:p>
    <w:p w:rsidR="00021814" w:rsidRPr="00574A8F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除非得到双方院校同意，每</w:t>
      </w:r>
      <w:r w:rsidRPr="00401EC3">
        <w:rPr>
          <w:rFonts w:asciiTheme="minorEastAsia" w:eastAsia="SimSun" w:hAnsiTheme="minorEastAsia" w:hint="eastAsia"/>
          <w:color w:val="000000" w:themeColor="text1"/>
          <w:lang w:eastAsia="zh-CN"/>
        </w:rPr>
        <w:t>学期</w:t>
      </w:r>
      <w:r w:rsidRPr="00500A69">
        <w:rPr>
          <w:rFonts w:eastAsia="SimSun" w:hAnsi="DFKai-SB" w:hint="eastAsia"/>
          <w:color w:val="000000" w:themeColor="text1"/>
          <w:lang w:eastAsia="zh-CN"/>
        </w:rPr>
        <w:t>进行交流的学生不可超过</w:t>
      </w:r>
      <w:r w:rsidRPr="00500A69">
        <w:rPr>
          <w:rFonts w:eastAsia="SimSun"/>
          <w:color w:val="000000" w:themeColor="text1"/>
          <w:lang w:eastAsia="zh-CN"/>
        </w:rPr>
        <w:t>2</w:t>
      </w:r>
      <w:r w:rsidR="00C51145">
        <w:rPr>
          <w:rFonts w:eastAsia="SimSun" w:hAnsi="DFKai-SB" w:hint="eastAsia"/>
          <w:color w:val="000000" w:themeColor="text1"/>
          <w:lang w:eastAsia="zh-CN"/>
        </w:rPr>
        <w:t>人，学生交流时间</w:t>
      </w:r>
      <w:r w:rsidRPr="00500A69">
        <w:rPr>
          <w:rFonts w:eastAsia="SimSun" w:hAnsi="DFKai-SB" w:hint="eastAsia"/>
          <w:color w:val="000000" w:themeColor="text1"/>
          <w:lang w:eastAsia="zh-CN"/>
        </w:rPr>
        <w:t>为</w:t>
      </w:r>
      <w:r w:rsidRPr="00574A8F">
        <w:rPr>
          <w:rFonts w:eastAsia="SimSun"/>
          <w:color w:val="000000" w:themeColor="text1"/>
          <w:lang w:eastAsia="zh-CN"/>
        </w:rPr>
        <w:t>1</w:t>
      </w:r>
      <w:r w:rsidRPr="00574A8F">
        <w:rPr>
          <w:rFonts w:eastAsia="SimSun" w:hAnsi="DFKai-SB" w:hint="eastAsia"/>
          <w:color w:val="000000" w:themeColor="text1"/>
          <w:lang w:eastAsia="zh-CN"/>
        </w:rPr>
        <w:t>学期</w:t>
      </w:r>
      <w:r w:rsidR="00C51145" w:rsidRPr="00574A8F">
        <w:rPr>
          <w:rFonts w:eastAsia="SimSun" w:hAnsi="DFKai-SB" w:hint="eastAsia"/>
          <w:color w:val="000000" w:themeColor="text1"/>
          <w:lang w:eastAsia="zh-CN"/>
        </w:rPr>
        <w:t>或</w:t>
      </w:r>
      <w:r w:rsidR="00C51145" w:rsidRPr="00574A8F">
        <w:rPr>
          <w:rFonts w:eastAsia="SimSun" w:hAnsi="DFKai-SB" w:hint="eastAsia"/>
          <w:color w:val="000000" w:themeColor="text1"/>
          <w:lang w:eastAsia="zh-CN"/>
        </w:rPr>
        <w:t>1</w:t>
      </w:r>
      <w:r w:rsidR="00C51145" w:rsidRPr="00574A8F">
        <w:rPr>
          <w:rFonts w:eastAsia="SimSun" w:hAnsi="DFKai-SB" w:hint="eastAsia"/>
          <w:color w:val="000000" w:themeColor="text1"/>
          <w:lang w:eastAsia="zh-CN"/>
        </w:rPr>
        <w:t>学年</w:t>
      </w:r>
      <w:r w:rsidRPr="00574A8F">
        <w:rPr>
          <w:rFonts w:eastAsia="SimSun" w:hAnsi="DFKai-SB" w:hint="eastAsia"/>
          <w:color w:val="000000" w:themeColor="text1"/>
          <w:lang w:eastAsia="zh-CN"/>
        </w:rPr>
        <w:t>。</w:t>
      </w:r>
      <w:r w:rsidR="001E5BA5" w:rsidRPr="00574A8F">
        <w:rPr>
          <w:rFonts w:ascii="DFKai-SB" w:eastAsia="SimSun" w:hAnsi="SimSun" w:hint="eastAsia"/>
          <w:lang w:eastAsia="zh-CN"/>
        </w:rPr>
        <w:t>本科及研究生均可申请。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原则上，每次交流活动在</w:t>
      </w:r>
      <w:r w:rsidRPr="00500A69">
        <w:rPr>
          <w:rFonts w:eastAsia="SimSun"/>
          <w:color w:val="000000" w:themeColor="text1"/>
          <w:lang w:eastAsia="zh-CN"/>
        </w:rPr>
        <w:t>1</w:t>
      </w:r>
      <w:r w:rsidRPr="00500A69">
        <w:rPr>
          <w:rFonts w:eastAsia="SimSun" w:hAnsi="DFKai-SB" w:hint="eastAsia"/>
          <w:color w:val="000000" w:themeColor="text1"/>
          <w:lang w:eastAsia="zh-CN"/>
        </w:rPr>
        <w:t>名学生对</w:t>
      </w:r>
      <w:r w:rsidRPr="00500A69">
        <w:rPr>
          <w:rFonts w:eastAsia="SimSun"/>
          <w:color w:val="000000" w:themeColor="text1"/>
          <w:lang w:eastAsia="zh-CN"/>
        </w:rPr>
        <w:t>1</w:t>
      </w:r>
      <w:r w:rsidRPr="00500A69">
        <w:rPr>
          <w:rFonts w:eastAsia="SimSun" w:hAnsi="DFKai-SB" w:hint="eastAsia"/>
          <w:color w:val="000000" w:themeColor="text1"/>
          <w:lang w:eastAsia="zh-CN"/>
        </w:rPr>
        <w:t>名学生的对等交</w:t>
      </w:r>
      <w:r w:rsidR="000965CB" w:rsidRPr="000965CB">
        <w:rPr>
          <w:rFonts w:asciiTheme="minorEastAsia" w:eastAsia="SimSun" w:hAnsiTheme="minorEastAsia" w:hint="eastAsia"/>
          <w:color w:val="000000" w:themeColor="text1"/>
          <w:lang w:eastAsia="zh-CN"/>
        </w:rPr>
        <w:t>流</w:t>
      </w:r>
      <w:r w:rsidRPr="00500A69">
        <w:rPr>
          <w:rFonts w:eastAsia="SimSun" w:hAnsi="DFKai-SB" w:hint="eastAsia"/>
          <w:color w:val="000000" w:themeColor="text1"/>
          <w:lang w:eastAsia="zh-CN"/>
        </w:rPr>
        <w:t>基础进行。惟若双方院校在每学期参加交流活动的学生人数未能达至平衡，在本协议订定的</w:t>
      </w:r>
      <w:r w:rsidRPr="006448B0">
        <w:rPr>
          <w:rFonts w:asciiTheme="minorEastAsia" w:eastAsia="SimSun" w:hAnsiTheme="minorEastAsia"/>
          <w:color w:val="000000" w:themeColor="text1"/>
          <w:lang w:eastAsia="zh-CN"/>
        </w:rPr>
        <w:t>5</w:t>
      </w:r>
      <w:r w:rsidRPr="00500A69">
        <w:rPr>
          <w:rFonts w:eastAsia="SimSun" w:hAnsi="DFKai-SB" w:hint="eastAsia"/>
          <w:color w:val="000000" w:themeColor="text1"/>
          <w:lang w:eastAsia="zh-CN"/>
        </w:rPr>
        <w:t>年协议期限内交流学生人数亦应大致达到平衡。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在可能情况下，学生交流时间可以为</w:t>
      </w:r>
      <w:r w:rsidRPr="00500A69">
        <w:rPr>
          <w:rFonts w:eastAsia="SimSun"/>
          <w:color w:val="000000" w:themeColor="text1"/>
          <w:lang w:eastAsia="zh-CN"/>
        </w:rPr>
        <w:t>1</w:t>
      </w:r>
      <w:r w:rsidRPr="00500A69">
        <w:rPr>
          <w:rFonts w:eastAsia="SimSun" w:hAnsi="DFKai-SB" w:hint="eastAsia"/>
          <w:color w:val="000000" w:themeColor="text1"/>
          <w:lang w:eastAsia="zh-CN"/>
        </w:rPr>
        <w:t>个学年。为了平衡交流学生人数，</w:t>
      </w:r>
      <w:r w:rsidRPr="00500A69">
        <w:rPr>
          <w:rFonts w:eastAsia="SimSun"/>
          <w:color w:val="000000" w:themeColor="text1"/>
          <w:lang w:eastAsia="zh-CN"/>
        </w:rPr>
        <w:t>1</w:t>
      </w:r>
      <w:r w:rsidRPr="00500A69">
        <w:rPr>
          <w:rFonts w:eastAsia="SimSun" w:hAnsi="DFKai-SB" w:hint="eastAsia"/>
          <w:color w:val="000000" w:themeColor="text1"/>
          <w:lang w:eastAsia="zh-CN"/>
        </w:rPr>
        <w:t>名学生交流</w:t>
      </w:r>
      <w:r w:rsidRPr="00500A69">
        <w:rPr>
          <w:rFonts w:eastAsia="SimSun"/>
          <w:color w:val="000000" w:themeColor="text1"/>
          <w:lang w:eastAsia="zh-CN"/>
        </w:rPr>
        <w:t>1</w:t>
      </w:r>
      <w:r w:rsidRPr="00500A69">
        <w:rPr>
          <w:rFonts w:eastAsia="SimSun" w:hAnsi="DFKai-SB" w:hint="eastAsia"/>
          <w:color w:val="000000" w:themeColor="text1"/>
          <w:lang w:eastAsia="zh-CN"/>
        </w:rPr>
        <w:t>学年等同于两名学生交流</w:t>
      </w:r>
      <w:r w:rsidRPr="00500A69">
        <w:rPr>
          <w:rFonts w:eastAsia="SimSun"/>
          <w:color w:val="000000" w:themeColor="text1"/>
          <w:lang w:eastAsia="zh-CN"/>
        </w:rPr>
        <w:t>1</w:t>
      </w:r>
      <w:r w:rsidRPr="00500A69">
        <w:rPr>
          <w:rFonts w:eastAsia="SimSun" w:hAnsi="DFKai-SB" w:hint="eastAsia"/>
          <w:color w:val="000000" w:themeColor="text1"/>
          <w:lang w:eastAsia="zh-CN"/>
        </w:rPr>
        <w:t>学期</w:t>
      </w:r>
      <w:r w:rsidRPr="00574A8F">
        <w:rPr>
          <w:rFonts w:eastAsia="SimSun" w:hAnsi="DFKai-SB" w:hint="eastAsia"/>
          <w:color w:val="000000" w:themeColor="text1"/>
          <w:lang w:eastAsia="zh-CN"/>
        </w:rPr>
        <w:t>；</w:t>
      </w:r>
      <w:r w:rsidRPr="00574A8F">
        <w:rPr>
          <w:rFonts w:eastAsia="SimSun" w:hAnsi="DFKai-SB" w:hint="eastAsia"/>
          <w:color w:val="000000" w:themeColor="text1"/>
          <w:shd w:val="clear" w:color="auto" w:fill="FFFFFF"/>
          <w:lang w:eastAsia="zh-CN"/>
        </w:rPr>
        <w:t>假若双方院校在每学期参加交流活动的学生人数未能达到平衡，通过双方院校沟通，并取得一致意见的情形之下，也可开展交</w:t>
      </w:r>
      <w:r w:rsidR="000965CB" w:rsidRPr="000965CB">
        <w:rPr>
          <w:rFonts w:asciiTheme="minorEastAsia" w:eastAsia="SimSun" w:hAnsiTheme="minorEastAsia" w:hint="eastAsia"/>
          <w:color w:val="000000" w:themeColor="text1"/>
          <w:lang w:eastAsia="zh-CN"/>
        </w:rPr>
        <w:t>流</w:t>
      </w:r>
      <w:r w:rsidRPr="00574A8F">
        <w:rPr>
          <w:rFonts w:eastAsia="SimSun" w:hAnsi="DFKai-SB" w:hint="eastAsia"/>
          <w:color w:val="000000" w:themeColor="text1"/>
          <w:shd w:val="clear" w:color="auto" w:fill="FFFFFF"/>
          <w:lang w:eastAsia="zh-CN"/>
        </w:rPr>
        <w:t>工作。</w:t>
      </w:r>
    </w:p>
    <w:p w:rsidR="00021814" w:rsidRDefault="00021814" w:rsidP="00021814">
      <w:pPr>
        <w:ind w:rightChars="127" w:right="305"/>
        <w:jc w:val="both"/>
        <w:rPr>
          <w:rFonts w:eastAsia="DFKai-SB"/>
          <w:color w:val="000000" w:themeColor="text1"/>
          <w:lang w:eastAsia="zh-CN"/>
        </w:rPr>
      </w:pPr>
    </w:p>
    <w:p w:rsidR="00AE2E26" w:rsidRPr="00AA744D" w:rsidRDefault="00AE2E26" w:rsidP="00021814">
      <w:pPr>
        <w:ind w:rightChars="127" w:right="305"/>
        <w:jc w:val="both"/>
        <w:rPr>
          <w:rFonts w:eastAsia="DFKai-SB"/>
          <w:color w:val="000000" w:themeColor="text1"/>
        </w:rPr>
      </w:pPr>
    </w:p>
    <w:p w:rsidR="00021814" w:rsidRPr="00AA744D" w:rsidRDefault="006448B0" w:rsidP="00021814">
      <w:pPr>
        <w:numPr>
          <w:ilvl w:val="0"/>
          <w:numId w:val="5"/>
        </w:numPr>
        <w:ind w:rightChars="127" w:right="305"/>
        <w:jc w:val="both"/>
        <w:rPr>
          <w:rFonts w:eastAsia="DFKai-SB"/>
          <w:color w:val="000000" w:themeColor="text1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费用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双方院校同意互相豁免来访交流学生的</w:t>
      </w:r>
      <w:r w:rsidRPr="00591670">
        <w:rPr>
          <w:rFonts w:asciiTheme="minorEastAsia" w:eastAsia="SimSun" w:hAnsiTheme="minorEastAsia" w:hint="eastAsia"/>
          <w:color w:val="000000" w:themeColor="text1"/>
          <w:lang w:eastAsia="zh-CN"/>
        </w:rPr>
        <w:t>研修</w:t>
      </w:r>
      <w:r w:rsidRPr="00500A69">
        <w:rPr>
          <w:rFonts w:eastAsia="SimSun" w:hAnsi="DFKai-SB" w:hint="eastAsia"/>
          <w:color w:val="000000" w:themeColor="text1"/>
          <w:lang w:eastAsia="zh-CN"/>
        </w:rPr>
        <w:t>费。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所有学生须向其原属院校缴付正常费用。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所有学生须自行负责在接待院校的一切个人支出，包括住宿、膳食、衣服、交通、医疗及其他学术方面的开支。</w:t>
      </w:r>
    </w:p>
    <w:p w:rsidR="00021814" w:rsidRPr="00AA744D" w:rsidRDefault="00E00523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>
        <w:rPr>
          <w:rFonts w:eastAsia="SimSun" w:hAnsi="DFKai-SB" w:hint="eastAsia"/>
          <w:color w:val="000000" w:themeColor="text1"/>
          <w:lang w:eastAsia="zh-CN"/>
        </w:rPr>
        <w:t>所有学生须购买</w:t>
      </w:r>
      <w:r w:rsidR="006448B0" w:rsidRPr="00500A69">
        <w:rPr>
          <w:rFonts w:eastAsia="SimSun" w:hAnsi="DFKai-SB" w:hint="eastAsia"/>
          <w:color w:val="000000" w:themeColor="text1"/>
          <w:lang w:eastAsia="zh-CN"/>
        </w:rPr>
        <w:t>保险并负责相关的费用。保险内容须包括医疗费用、人身意外、个人责任和紧急支持。</w:t>
      </w:r>
    </w:p>
    <w:p w:rsidR="00021814" w:rsidRPr="00AA744D" w:rsidRDefault="00021814" w:rsidP="00021814">
      <w:pPr>
        <w:ind w:left="960" w:rightChars="127" w:right="305" w:firstLineChars="450" w:firstLine="1080"/>
        <w:jc w:val="both"/>
        <w:rPr>
          <w:rFonts w:eastAsia="DFKai-SB"/>
          <w:color w:val="000000" w:themeColor="text1"/>
          <w:lang w:eastAsia="zh-CN"/>
        </w:rPr>
      </w:pPr>
    </w:p>
    <w:p w:rsidR="00021814" w:rsidRPr="00AA744D" w:rsidRDefault="006448B0" w:rsidP="00021814">
      <w:pPr>
        <w:numPr>
          <w:ilvl w:val="0"/>
          <w:numId w:val="5"/>
        </w:numPr>
        <w:ind w:rightChars="127" w:right="305"/>
        <w:jc w:val="both"/>
        <w:rPr>
          <w:rFonts w:eastAsia="DFKai-SB"/>
          <w:color w:val="000000" w:themeColor="text1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筛选﹑录取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双方院校自行负责筛选学生参加学生交流活动。</w:t>
      </w:r>
    </w:p>
    <w:p w:rsidR="00021814" w:rsidRPr="0082638C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每间院校派出的学生须符合接待院校所有</w:t>
      </w:r>
      <w:r w:rsidRPr="000E2489">
        <w:rPr>
          <w:rFonts w:eastAsia="SimSun" w:hAnsi="DFKai-SB" w:hint="eastAsia"/>
          <w:color w:val="000000" w:themeColor="text1"/>
          <w:lang w:eastAsia="zh-CN"/>
        </w:rPr>
        <w:t>研修</w:t>
      </w:r>
      <w:r w:rsidRPr="00500A69">
        <w:rPr>
          <w:rFonts w:eastAsia="SimSun" w:hAnsi="DFKai-SB" w:hint="eastAsia"/>
          <w:color w:val="000000" w:themeColor="text1"/>
          <w:lang w:eastAsia="zh-CN"/>
        </w:rPr>
        <w:t>要求。</w:t>
      </w:r>
    </w:p>
    <w:p w:rsidR="0082638C" w:rsidRPr="00574A8F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74A8F">
        <w:rPr>
          <w:rFonts w:ascii="DFKai-SB" w:eastAsia="SimSun" w:hAnsi="DFKai-SB" w:hint="eastAsia"/>
          <w:color w:val="000000" w:themeColor="text1"/>
          <w:lang w:eastAsia="zh-CN"/>
        </w:rPr>
        <w:t>原属院校派出的学生应尽量选择接待院校中对口的专业就读。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原属院校须向接待院校提供课程资料及学生个人资料，例如已知健康问题，这些问题可能影响学生学习进度或需特别协助。</w:t>
      </w:r>
    </w:p>
    <w:p w:rsidR="00021814" w:rsidRPr="00AA744D" w:rsidRDefault="006448B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接待院校应确定学生能研修课程，但研修个别学系或个别课程，则视乎学生是否符合选修该课程的要求，以及在交流期间可分配的资源。</w:t>
      </w:r>
      <w:r w:rsidRPr="006854EE">
        <w:rPr>
          <w:rFonts w:eastAsia="SimSun" w:hAnsi="DFKai-SB"/>
          <w:color w:val="000000" w:themeColor="text1"/>
          <w:lang w:eastAsia="zh-CN"/>
        </w:rPr>
        <w:t>(</w:t>
      </w:r>
      <w:r w:rsidRPr="006854EE">
        <w:rPr>
          <w:rFonts w:eastAsia="SimSun" w:hAnsi="DFKai-SB" w:hint="eastAsia"/>
          <w:color w:val="000000" w:themeColor="text1"/>
          <w:lang w:eastAsia="zh-CN"/>
        </w:rPr>
        <w:t>无提供跨校选课；</w:t>
      </w:r>
      <w:r w:rsidRPr="006854EE">
        <w:rPr>
          <w:rFonts w:ascii="DFKai-SB" w:eastAsia="SimSun" w:hAnsi="DFKai-SB" w:hint="eastAsia"/>
          <w:lang w:eastAsia="zh-CN"/>
        </w:rPr>
        <w:t>须另外缴交</w:t>
      </w:r>
      <w:r w:rsidRPr="006854EE">
        <w:rPr>
          <w:rFonts w:eastAsia="SimSun" w:hint="eastAsia"/>
          <w:color w:val="000000"/>
          <w:lang w:eastAsia="zh-CN"/>
        </w:rPr>
        <w:t>教育学程费用、夜间部课程费用、</w:t>
      </w:r>
      <w:r w:rsidRPr="006854EE">
        <w:rPr>
          <w:rFonts w:ascii="DFKai-SB" w:eastAsia="SimSun" w:hAnsi="DFKai-SB" w:hint="eastAsia"/>
          <w:lang w:eastAsia="zh-CN"/>
        </w:rPr>
        <w:t>个别指导</w:t>
      </w:r>
      <w:r w:rsidRPr="006854EE">
        <w:rPr>
          <w:rFonts w:eastAsia="SimSun" w:hint="eastAsia"/>
          <w:color w:val="000000"/>
          <w:lang w:eastAsia="zh-CN"/>
        </w:rPr>
        <w:t>课程费用</w:t>
      </w:r>
      <w:r w:rsidRPr="006854EE">
        <w:rPr>
          <w:rFonts w:ascii="DFKai-SB" w:eastAsia="SimSun" w:hAnsi="DFKai-SB" w:hint="eastAsia"/>
          <w:lang w:eastAsia="zh-CN"/>
        </w:rPr>
        <w:t>及键盘乐器材料维护费等</w:t>
      </w:r>
      <w:r w:rsidRPr="006854EE">
        <w:rPr>
          <w:rFonts w:eastAsia="SimSun" w:hAnsi="DFKai-SB"/>
          <w:color w:val="000000" w:themeColor="text1"/>
          <w:lang w:eastAsia="zh-CN"/>
        </w:rPr>
        <w:t>)</w:t>
      </w:r>
    </w:p>
    <w:p w:rsidR="00021814" w:rsidRPr="0082638C" w:rsidRDefault="006448B0" w:rsidP="00662F06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00A69">
        <w:rPr>
          <w:rFonts w:eastAsia="SimSun" w:hAnsi="DFKai-SB" w:hint="eastAsia"/>
          <w:color w:val="000000" w:themeColor="text1"/>
          <w:lang w:eastAsia="zh-CN"/>
        </w:rPr>
        <w:t>前往交流的学生须达到接待院校的学术要求和遵守操行规条。原属院校应告知学生接待院校之学术要求及文化情况。</w:t>
      </w:r>
    </w:p>
    <w:p w:rsidR="0082638C" w:rsidRPr="00574A8F" w:rsidRDefault="006448B0" w:rsidP="00662F06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 w:rsidRPr="00574A8F">
        <w:rPr>
          <w:rFonts w:ascii="DFKai-SB" w:eastAsia="SimSun" w:hAnsi="DFKai-SB" w:hint="eastAsia"/>
          <w:color w:val="000000" w:themeColor="text1"/>
          <w:lang w:eastAsia="zh-CN"/>
        </w:rPr>
        <w:t>双方院校应主动联系相关职能部门，配合并支持学生交流的相关事务。</w:t>
      </w:r>
    </w:p>
    <w:p w:rsidR="00021814" w:rsidRPr="00AA744D" w:rsidRDefault="00791DE0" w:rsidP="00021814">
      <w:pPr>
        <w:numPr>
          <w:ilvl w:val="1"/>
          <w:numId w:val="5"/>
        </w:numPr>
        <w:tabs>
          <w:tab w:val="clear" w:pos="1080"/>
          <w:tab w:val="num" w:pos="1260"/>
        </w:tabs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  <w:r>
        <w:rPr>
          <w:rFonts w:eastAsia="SimSun" w:hAnsi="DFKai-SB" w:hint="eastAsia"/>
          <w:color w:val="000000" w:themeColor="text1"/>
          <w:lang w:eastAsia="zh-CN"/>
        </w:rPr>
        <w:t>接待院校须向原属院校提供学生学习证明，显示学生在交流期间的学</w:t>
      </w:r>
      <w:r w:rsidRPr="00791DE0">
        <w:rPr>
          <w:rFonts w:asciiTheme="minorEastAsia" w:eastAsia="SimSun" w:hAnsiTheme="minorEastAsia" w:hint="eastAsia"/>
          <w:color w:val="000000" w:themeColor="text1"/>
          <w:lang w:eastAsia="zh-CN"/>
        </w:rPr>
        <w:t>习</w:t>
      </w:r>
      <w:r w:rsidR="006448B0" w:rsidRPr="00500A69">
        <w:rPr>
          <w:rFonts w:eastAsia="SimSun" w:hAnsi="DFKai-SB" w:hint="eastAsia"/>
          <w:color w:val="000000" w:themeColor="text1"/>
          <w:lang w:eastAsia="zh-CN"/>
        </w:rPr>
        <w:t>表现。</w:t>
      </w:r>
    </w:p>
    <w:p w:rsidR="00021814" w:rsidRPr="00AA744D" w:rsidRDefault="00021814" w:rsidP="00021814">
      <w:pPr>
        <w:ind w:left="1260" w:rightChars="127" w:right="305"/>
        <w:jc w:val="both"/>
        <w:rPr>
          <w:rFonts w:eastAsia="DFKai-SB"/>
          <w:color w:val="000000" w:themeColor="text1"/>
        </w:rPr>
      </w:pPr>
    </w:p>
    <w:p w:rsidR="00021814" w:rsidRPr="00AA744D" w:rsidRDefault="00021814" w:rsidP="00021814">
      <w:pPr>
        <w:ind w:left="1260" w:rightChars="127" w:right="305"/>
        <w:jc w:val="both"/>
        <w:rPr>
          <w:rFonts w:eastAsia="DFKai-SB"/>
          <w:color w:val="000000" w:themeColor="text1"/>
          <w:lang w:eastAsia="zh-CN"/>
        </w:rPr>
      </w:pPr>
    </w:p>
    <w:tbl>
      <w:tblPr>
        <w:tblW w:w="5000" w:type="pct"/>
        <w:tblLook w:val="01E0"/>
      </w:tblPr>
      <w:tblGrid>
        <w:gridCol w:w="3906"/>
        <w:gridCol w:w="459"/>
        <w:gridCol w:w="4163"/>
      </w:tblGrid>
      <w:tr w:rsidR="00021814" w:rsidRPr="00AA744D" w:rsidTr="00021814">
        <w:trPr>
          <w:trHeight w:val="1922"/>
        </w:trPr>
        <w:tc>
          <w:tcPr>
            <w:tcW w:w="2290" w:type="pct"/>
            <w:tcBorders>
              <w:bottom w:val="single" w:sz="4" w:space="0" w:color="auto"/>
            </w:tcBorders>
          </w:tcPr>
          <w:p w:rsidR="006509DD" w:rsidRPr="00AA744D" w:rsidRDefault="006509DD" w:rsidP="0094077F">
            <w:pPr>
              <w:ind w:rightChars="127" w:right="305"/>
              <w:rPr>
                <w:rFonts w:eastAsia="DFKai-SB"/>
                <w:color w:val="000000" w:themeColor="text1"/>
                <w:highlight w:val="lightGray"/>
                <w:lang w:eastAsia="zh-CN"/>
              </w:rPr>
            </w:pPr>
          </w:p>
          <w:p w:rsidR="00021814" w:rsidRPr="00AA744D" w:rsidRDefault="00021814" w:rsidP="0094077F">
            <w:pPr>
              <w:ind w:rightChars="127" w:right="305"/>
              <w:rPr>
                <w:rFonts w:eastAsia="DFKai-SB"/>
                <w:color w:val="000000" w:themeColor="text1"/>
                <w:highlight w:val="lightGray"/>
                <w:lang w:eastAsia="zh-CN"/>
              </w:rPr>
            </w:pPr>
          </w:p>
          <w:p w:rsidR="00021814" w:rsidRPr="00AA744D" w:rsidRDefault="00021814" w:rsidP="0094077F">
            <w:pPr>
              <w:ind w:rightChars="127" w:right="305"/>
              <w:rPr>
                <w:rFonts w:eastAsia="DFKai-SB"/>
                <w:color w:val="000000" w:themeColor="text1"/>
                <w:highlight w:val="lightGray"/>
                <w:lang w:eastAsia="zh-CN"/>
              </w:rPr>
            </w:pPr>
          </w:p>
          <w:p w:rsidR="00021814" w:rsidRPr="00AA744D" w:rsidRDefault="00021814" w:rsidP="0094077F">
            <w:pPr>
              <w:ind w:rightChars="127" w:right="305"/>
              <w:rPr>
                <w:rFonts w:eastAsia="DFKai-SB"/>
                <w:color w:val="000000" w:themeColor="text1"/>
                <w:highlight w:val="lightGray"/>
                <w:lang w:eastAsia="zh-CN"/>
              </w:rPr>
            </w:pPr>
          </w:p>
        </w:tc>
        <w:tc>
          <w:tcPr>
            <w:tcW w:w="269" w:type="pct"/>
          </w:tcPr>
          <w:p w:rsidR="00021814" w:rsidRPr="00AA744D" w:rsidRDefault="00021814" w:rsidP="0094077F">
            <w:pPr>
              <w:ind w:rightChars="127" w:right="305"/>
              <w:rPr>
                <w:rFonts w:eastAsia="DFKai-SB"/>
                <w:color w:val="000000" w:themeColor="text1"/>
                <w:lang w:eastAsia="zh-CN"/>
              </w:rPr>
            </w:pPr>
          </w:p>
        </w:tc>
        <w:tc>
          <w:tcPr>
            <w:tcW w:w="2441" w:type="pct"/>
            <w:tcBorders>
              <w:bottom w:val="single" w:sz="4" w:space="0" w:color="auto"/>
            </w:tcBorders>
          </w:tcPr>
          <w:p w:rsidR="00021814" w:rsidRPr="00AA744D" w:rsidRDefault="00021814" w:rsidP="0094077F">
            <w:pPr>
              <w:ind w:rightChars="127" w:right="305"/>
              <w:rPr>
                <w:rFonts w:eastAsia="DFKai-SB"/>
                <w:color w:val="000000" w:themeColor="text1"/>
                <w:lang w:eastAsia="zh-CN"/>
              </w:rPr>
            </w:pPr>
          </w:p>
        </w:tc>
      </w:tr>
      <w:tr w:rsidR="00021814" w:rsidRPr="00FE1068" w:rsidTr="00021814">
        <w:trPr>
          <w:trHeight w:val="1079"/>
        </w:trPr>
        <w:tc>
          <w:tcPr>
            <w:tcW w:w="2290" w:type="pct"/>
            <w:tcBorders>
              <w:top w:val="single" w:sz="4" w:space="0" w:color="auto"/>
            </w:tcBorders>
          </w:tcPr>
          <w:p w:rsidR="00021814" w:rsidRPr="00E010C7" w:rsidRDefault="006448B0" w:rsidP="0094077F">
            <w:pPr>
              <w:widowControl/>
              <w:rPr>
                <w:rFonts w:eastAsia="DFKai-SB"/>
                <w:lang w:eastAsia="zh-CN"/>
              </w:rPr>
            </w:pPr>
            <w:r w:rsidRPr="0082638C">
              <w:rPr>
                <w:rFonts w:ascii="DFKai-SB" w:eastAsia="SimSun" w:hAnsi="DFKai-SB" w:hint="eastAsia"/>
                <w:color w:val="000000"/>
                <w:lang w:eastAsia="zh-CN"/>
              </w:rPr>
              <w:t>王稼琼</w:t>
            </w:r>
            <w:r w:rsidRPr="00500A69">
              <w:rPr>
                <w:rFonts w:eastAsia="SimSun" w:hAnsi="DFKai-SB" w:hint="eastAsia"/>
                <w:lang w:eastAsia="zh-CN"/>
              </w:rPr>
              <w:t>校长</w:t>
            </w:r>
          </w:p>
          <w:p w:rsidR="00021814" w:rsidRPr="00E010C7" w:rsidRDefault="006448B0" w:rsidP="0094077F">
            <w:pPr>
              <w:ind w:rightChars="127" w:right="305"/>
              <w:rPr>
                <w:rFonts w:eastAsia="DFKai-SB"/>
                <w:lang w:eastAsia="zh-CN"/>
              </w:rPr>
            </w:pPr>
            <w:r w:rsidRPr="0082638C">
              <w:rPr>
                <w:rFonts w:ascii="DFKai-SB" w:eastAsia="SimSun" w:hAnsi="DFKai-SB" w:hint="eastAsia"/>
                <w:color w:val="000000"/>
                <w:lang w:eastAsia="zh-CN"/>
              </w:rPr>
              <w:t>首都经济贸易</w:t>
            </w:r>
            <w:r w:rsidRPr="00500A69">
              <w:rPr>
                <w:rFonts w:eastAsia="SimSun" w:hAnsi="DFKai-SB" w:hint="eastAsia"/>
                <w:lang w:eastAsia="zh-CN"/>
              </w:rPr>
              <w:t>大学</w:t>
            </w:r>
          </w:p>
          <w:p w:rsidR="00021814" w:rsidRPr="00E010C7" w:rsidRDefault="006448B0" w:rsidP="0094077F">
            <w:pPr>
              <w:ind w:rightChars="127" w:right="305"/>
              <w:rPr>
                <w:rFonts w:eastAsia="DFKai-SB"/>
                <w:highlight w:val="lightGray"/>
                <w:lang w:eastAsia="zh-CN"/>
              </w:rPr>
            </w:pPr>
            <w:r w:rsidRPr="00500A69">
              <w:rPr>
                <w:rFonts w:eastAsia="SimSun" w:hAnsi="DFKai-SB" w:hint="eastAsia"/>
                <w:lang w:eastAsia="zh-CN"/>
              </w:rPr>
              <w:t>日期</w:t>
            </w:r>
            <w:r w:rsidRPr="00500A69">
              <w:rPr>
                <w:rFonts w:eastAsia="SimSun"/>
                <w:lang w:eastAsia="zh-CN"/>
              </w:rPr>
              <w:t>: 201</w:t>
            </w:r>
            <w:r w:rsidRPr="008379C8">
              <w:rPr>
                <w:rFonts w:asciiTheme="minorEastAsia" w:eastAsia="SimSun" w:hAnsiTheme="minorEastAsia"/>
                <w:lang w:eastAsia="zh-CN"/>
              </w:rPr>
              <w:t>4</w:t>
            </w:r>
            <w:r w:rsidRPr="00500A69">
              <w:rPr>
                <w:rFonts w:eastAsia="SimSun" w:hAnsi="DFKai-SB" w:hint="eastAsia"/>
                <w:lang w:eastAsia="zh-CN"/>
              </w:rPr>
              <w:t>年</w:t>
            </w:r>
            <w:r w:rsidR="00574A8F">
              <w:rPr>
                <w:rFonts w:asciiTheme="minorEastAsia" w:hAnsiTheme="minorEastAsia" w:hint="eastAsia"/>
              </w:rPr>
              <w:t xml:space="preserve">  </w:t>
            </w:r>
            <w:r w:rsidRPr="00500A69">
              <w:rPr>
                <w:rFonts w:eastAsia="SimSun" w:hAnsi="DFKai-SB" w:hint="eastAsia"/>
                <w:lang w:eastAsia="zh-CN"/>
              </w:rPr>
              <w:t>月</w:t>
            </w:r>
            <w:r w:rsidR="00574A8F">
              <w:rPr>
                <w:rFonts w:asciiTheme="minorEastAsia" w:hAnsiTheme="minorEastAsia" w:hint="eastAsia"/>
              </w:rPr>
              <w:t xml:space="preserve">  </w:t>
            </w:r>
            <w:r w:rsidRPr="00500A69">
              <w:rPr>
                <w:rFonts w:eastAsia="SimSun" w:hAnsi="DFKai-SB" w:hint="eastAsia"/>
                <w:lang w:eastAsia="zh-CN"/>
              </w:rPr>
              <w:t>日</w:t>
            </w:r>
          </w:p>
        </w:tc>
        <w:tc>
          <w:tcPr>
            <w:tcW w:w="269" w:type="pct"/>
          </w:tcPr>
          <w:p w:rsidR="00021814" w:rsidRPr="00FE1068" w:rsidRDefault="00021814" w:rsidP="0094077F">
            <w:pPr>
              <w:ind w:rightChars="127" w:right="305"/>
              <w:rPr>
                <w:rFonts w:eastAsia="DFKai-SB"/>
                <w:lang w:eastAsia="zh-CN"/>
              </w:rPr>
            </w:pPr>
          </w:p>
        </w:tc>
        <w:tc>
          <w:tcPr>
            <w:tcW w:w="2441" w:type="pct"/>
            <w:tcBorders>
              <w:top w:val="single" w:sz="4" w:space="0" w:color="auto"/>
            </w:tcBorders>
          </w:tcPr>
          <w:p w:rsidR="00021814" w:rsidRPr="00FE1068" w:rsidRDefault="006448B0" w:rsidP="0094077F">
            <w:pPr>
              <w:ind w:rightChars="127" w:right="305"/>
              <w:rPr>
                <w:rFonts w:eastAsia="DFKai-SB"/>
                <w:lang w:eastAsia="zh-CN"/>
              </w:rPr>
            </w:pPr>
            <w:r w:rsidRPr="00500A69">
              <w:rPr>
                <w:rFonts w:eastAsia="SimSun" w:hAnsi="DFKai-SB" w:hint="eastAsia"/>
                <w:lang w:eastAsia="zh-CN"/>
              </w:rPr>
              <w:t>黄秀霜校长</w:t>
            </w:r>
          </w:p>
          <w:p w:rsidR="00021814" w:rsidRPr="00FE1068" w:rsidRDefault="00791DE0" w:rsidP="0094077F">
            <w:pPr>
              <w:ind w:rightChars="127" w:right="305"/>
              <w:rPr>
                <w:rFonts w:eastAsia="DFKai-SB"/>
                <w:lang w:eastAsia="zh-CN"/>
              </w:rPr>
            </w:pPr>
            <w:r w:rsidRPr="00791DE0">
              <w:rPr>
                <w:rFonts w:asciiTheme="minorEastAsia" w:eastAsia="SimSun" w:hAnsiTheme="minorEastAsia" w:hint="eastAsia"/>
                <w:lang w:eastAsia="zh-CN"/>
              </w:rPr>
              <w:t>国立</w:t>
            </w:r>
            <w:r w:rsidR="006448B0" w:rsidRPr="00500A69">
              <w:rPr>
                <w:rFonts w:eastAsia="SimSun" w:hAnsi="DFKai-SB" w:hint="eastAsia"/>
                <w:lang w:eastAsia="zh-CN"/>
              </w:rPr>
              <w:t>台南大学</w:t>
            </w:r>
          </w:p>
          <w:p w:rsidR="00021814" w:rsidRPr="00D71228" w:rsidRDefault="006448B0" w:rsidP="00D71228">
            <w:pPr>
              <w:autoSpaceDE w:val="0"/>
              <w:autoSpaceDN w:val="0"/>
              <w:adjustRightInd w:val="0"/>
              <w:rPr>
                <w:rFonts w:eastAsia="DFKai-SB"/>
                <w:kern w:val="0"/>
                <w:lang w:eastAsia="zh-CN"/>
              </w:rPr>
            </w:pPr>
            <w:r w:rsidRPr="00500A69">
              <w:rPr>
                <w:rFonts w:eastAsia="SimSun" w:hAnsi="DFKai-SB" w:hint="eastAsia"/>
                <w:lang w:eastAsia="zh-CN"/>
              </w:rPr>
              <w:t>日期</w:t>
            </w:r>
            <w:r w:rsidRPr="00500A69">
              <w:rPr>
                <w:rFonts w:eastAsia="SimSun"/>
                <w:lang w:eastAsia="zh-CN"/>
              </w:rPr>
              <w:t>: 201</w:t>
            </w:r>
            <w:r w:rsidRPr="008379C8">
              <w:rPr>
                <w:rFonts w:asciiTheme="minorEastAsia" w:eastAsia="SimSun" w:hAnsiTheme="minorEastAsia"/>
                <w:lang w:eastAsia="zh-CN"/>
              </w:rPr>
              <w:t>4</w:t>
            </w:r>
            <w:r w:rsidRPr="00500A69">
              <w:rPr>
                <w:rFonts w:eastAsia="SimSun" w:hAnsi="DFKai-SB" w:hint="eastAsia"/>
                <w:lang w:eastAsia="zh-CN"/>
              </w:rPr>
              <w:t>年</w:t>
            </w:r>
            <w:r w:rsidR="00574A8F">
              <w:rPr>
                <w:rFonts w:asciiTheme="minorEastAsia" w:hAnsiTheme="minorEastAsia" w:hint="eastAsia"/>
              </w:rPr>
              <w:t xml:space="preserve">  </w:t>
            </w:r>
            <w:r w:rsidRPr="00500A69">
              <w:rPr>
                <w:rFonts w:eastAsia="SimSun" w:hAnsi="DFKai-SB" w:hint="eastAsia"/>
                <w:lang w:eastAsia="zh-CN"/>
              </w:rPr>
              <w:t>月</w:t>
            </w:r>
            <w:r w:rsidR="00574A8F">
              <w:rPr>
                <w:rFonts w:asciiTheme="minorEastAsia" w:hAnsiTheme="minorEastAsia" w:hint="eastAsia"/>
              </w:rPr>
              <w:t xml:space="preserve">  </w:t>
            </w:r>
            <w:r w:rsidRPr="00500A69">
              <w:rPr>
                <w:rFonts w:eastAsia="SimSun" w:hAnsi="DFKai-SB" w:hint="eastAsia"/>
                <w:lang w:eastAsia="zh-CN"/>
              </w:rPr>
              <w:t>日</w:t>
            </w:r>
          </w:p>
        </w:tc>
      </w:tr>
    </w:tbl>
    <w:p w:rsidR="00967EAD" w:rsidRPr="00D71228" w:rsidRDefault="00967EAD" w:rsidP="00967EAD">
      <w:pPr>
        <w:pStyle w:val="Web"/>
        <w:spacing w:before="0" w:beforeAutospacing="0" w:after="0" w:afterAutospacing="0" w:line="0" w:lineRule="atLeast"/>
        <w:rPr>
          <w:rFonts w:ascii="Times New Roman" w:eastAsia="DFKai-SB" w:hAnsi="Times New Roman" w:cs="Times New Roman"/>
          <w:color w:val="000000"/>
          <w:lang w:eastAsia="zh-CN"/>
        </w:rPr>
      </w:pPr>
    </w:p>
    <w:sectPr w:rsidR="00967EAD" w:rsidRPr="00D71228" w:rsidSect="00AE2E26">
      <w:headerReference w:type="default" r:id="rId7"/>
      <w:pgSz w:w="11906" w:h="16838"/>
      <w:pgMar w:top="1797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45" w:rsidRDefault="004C5245">
      <w:r>
        <w:separator/>
      </w:r>
    </w:p>
  </w:endnote>
  <w:endnote w:type="continuationSeparator" w:id="1">
    <w:p w:rsidR="004C5245" w:rsidRDefault="004C5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45" w:rsidRDefault="004C5245">
      <w:r>
        <w:separator/>
      </w:r>
    </w:p>
  </w:footnote>
  <w:footnote w:type="continuationSeparator" w:id="1">
    <w:p w:rsidR="004C5245" w:rsidRDefault="004C5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51" w:rsidRDefault="008C6F51">
    <w:pPr>
      <w:pStyle w:val="a4"/>
      <w:ind w:left="-10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219B"/>
    <w:multiLevelType w:val="hybridMultilevel"/>
    <w:tmpl w:val="A09ACA72"/>
    <w:lvl w:ilvl="0" w:tplc="74E88AC8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355A06F1"/>
    <w:multiLevelType w:val="hybridMultilevel"/>
    <w:tmpl w:val="FDDA5B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6657A8E"/>
    <w:multiLevelType w:val="hybridMultilevel"/>
    <w:tmpl w:val="CAB2BE00"/>
    <w:lvl w:ilvl="0" w:tplc="ABC8AC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830C67"/>
    <w:multiLevelType w:val="hybridMultilevel"/>
    <w:tmpl w:val="8404333E"/>
    <w:lvl w:ilvl="0" w:tplc="E430B29C">
      <w:start w:val="1"/>
      <w:numFmt w:val="japaneseCounting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7C80E8E"/>
    <w:multiLevelType w:val="hybridMultilevel"/>
    <w:tmpl w:val="C85890C4"/>
    <w:lvl w:ilvl="0" w:tplc="2CE84CA0">
      <w:start w:val="1"/>
      <w:numFmt w:val="chineseCountingThousand"/>
      <w:lvlText w:val="(%1)"/>
      <w:lvlJc w:val="left"/>
      <w:pPr>
        <w:tabs>
          <w:tab w:val="num" w:pos="840"/>
        </w:tabs>
        <w:ind w:left="840" w:hanging="720"/>
      </w:pPr>
      <w:rPr>
        <w:rFonts w:hint="default"/>
        <w:b w:val="0"/>
        <w:i w:val="0"/>
      </w:rPr>
    </w:lvl>
    <w:lvl w:ilvl="1" w:tplc="7492A2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Unicode MS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BE2"/>
    <w:rsid w:val="00021814"/>
    <w:rsid w:val="00032D3A"/>
    <w:rsid w:val="00052461"/>
    <w:rsid w:val="00064104"/>
    <w:rsid w:val="00081B4D"/>
    <w:rsid w:val="00090318"/>
    <w:rsid w:val="000965CB"/>
    <w:rsid w:val="000A6FDD"/>
    <w:rsid w:val="000B1575"/>
    <w:rsid w:val="000B22C0"/>
    <w:rsid w:val="000D01A7"/>
    <w:rsid w:val="000E2489"/>
    <w:rsid w:val="000F1224"/>
    <w:rsid w:val="000F7E06"/>
    <w:rsid w:val="00107777"/>
    <w:rsid w:val="00121A1B"/>
    <w:rsid w:val="00131199"/>
    <w:rsid w:val="00147235"/>
    <w:rsid w:val="00172600"/>
    <w:rsid w:val="00176191"/>
    <w:rsid w:val="00185B45"/>
    <w:rsid w:val="00186133"/>
    <w:rsid w:val="00193660"/>
    <w:rsid w:val="001954BC"/>
    <w:rsid w:val="001B6AE4"/>
    <w:rsid w:val="001D5D6B"/>
    <w:rsid w:val="001E3996"/>
    <w:rsid w:val="001E5BA5"/>
    <w:rsid w:val="001F50D2"/>
    <w:rsid w:val="00201D79"/>
    <w:rsid w:val="00237FD2"/>
    <w:rsid w:val="00245A94"/>
    <w:rsid w:val="00262A28"/>
    <w:rsid w:val="002659AB"/>
    <w:rsid w:val="00284830"/>
    <w:rsid w:val="00285F01"/>
    <w:rsid w:val="00293F78"/>
    <w:rsid w:val="002A23CC"/>
    <w:rsid w:val="002C3B83"/>
    <w:rsid w:val="002E4D36"/>
    <w:rsid w:val="002F184D"/>
    <w:rsid w:val="002F6191"/>
    <w:rsid w:val="003275DF"/>
    <w:rsid w:val="00345F2A"/>
    <w:rsid w:val="00366482"/>
    <w:rsid w:val="00390FFC"/>
    <w:rsid w:val="00397682"/>
    <w:rsid w:val="003A0647"/>
    <w:rsid w:val="003C2CB0"/>
    <w:rsid w:val="003D03E6"/>
    <w:rsid w:val="003F64D6"/>
    <w:rsid w:val="00401EC3"/>
    <w:rsid w:val="00425BE2"/>
    <w:rsid w:val="00434F32"/>
    <w:rsid w:val="0044008E"/>
    <w:rsid w:val="00451083"/>
    <w:rsid w:val="00451298"/>
    <w:rsid w:val="00455F0E"/>
    <w:rsid w:val="0045799F"/>
    <w:rsid w:val="0046497C"/>
    <w:rsid w:val="00465F3B"/>
    <w:rsid w:val="0048780B"/>
    <w:rsid w:val="004B38DC"/>
    <w:rsid w:val="004C5245"/>
    <w:rsid w:val="004D4F6A"/>
    <w:rsid w:val="004E4FE2"/>
    <w:rsid w:val="00500A69"/>
    <w:rsid w:val="00502E47"/>
    <w:rsid w:val="00526B97"/>
    <w:rsid w:val="00534B45"/>
    <w:rsid w:val="00537330"/>
    <w:rsid w:val="00541F3D"/>
    <w:rsid w:val="00542D6B"/>
    <w:rsid w:val="00545BD5"/>
    <w:rsid w:val="005523B4"/>
    <w:rsid w:val="0056126B"/>
    <w:rsid w:val="00574A8F"/>
    <w:rsid w:val="00576242"/>
    <w:rsid w:val="00591670"/>
    <w:rsid w:val="005C7269"/>
    <w:rsid w:val="005D6B0D"/>
    <w:rsid w:val="005E4360"/>
    <w:rsid w:val="005F0F0C"/>
    <w:rsid w:val="005F418D"/>
    <w:rsid w:val="005F41C3"/>
    <w:rsid w:val="0061156F"/>
    <w:rsid w:val="0061700B"/>
    <w:rsid w:val="00635B45"/>
    <w:rsid w:val="006448B0"/>
    <w:rsid w:val="006509DD"/>
    <w:rsid w:val="00662F06"/>
    <w:rsid w:val="006743B0"/>
    <w:rsid w:val="006842B2"/>
    <w:rsid w:val="006843DA"/>
    <w:rsid w:val="006854EE"/>
    <w:rsid w:val="00691653"/>
    <w:rsid w:val="00696708"/>
    <w:rsid w:val="006F1F41"/>
    <w:rsid w:val="006F2E8B"/>
    <w:rsid w:val="006F4813"/>
    <w:rsid w:val="00747DC7"/>
    <w:rsid w:val="00750B37"/>
    <w:rsid w:val="00771B0F"/>
    <w:rsid w:val="007738D6"/>
    <w:rsid w:val="0078167F"/>
    <w:rsid w:val="00785ABC"/>
    <w:rsid w:val="00791DE0"/>
    <w:rsid w:val="00795977"/>
    <w:rsid w:val="007B593E"/>
    <w:rsid w:val="007D1C3F"/>
    <w:rsid w:val="007D1EFF"/>
    <w:rsid w:val="007D5C80"/>
    <w:rsid w:val="00803452"/>
    <w:rsid w:val="00804C89"/>
    <w:rsid w:val="008137C1"/>
    <w:rsid w:val="008154BC"/>
    <w:rsid w:val="0082638C"/>
    <w:rsid w:val="008300D2"/>
    <w:rsid w:val="008379C8"/>
    <w:rsid w:val="0085028E"/>
    <w:rsid w:val="0089502B"/>
    <w:rsid w:val="00896043"/>
    <w:rsid w:val="008C6F51"/>
    <w:rsid w:val="008C7C03"/>
    <w:rsid w:val="008D41A9"/>
    <w:rsid w:val="00904720"/>
    <w:rsid w:val="00906C8E"/>
    <w:rsid w:val="0091288B"/>
    <w:rsid w:val="0094077F"/>
    <w:rsid w:val="0095519A"/>
    <w:rsid w:val="00955F78"/>
    <w:rsid w:val="00963EEC"/>
    <w:rsid w:val="00967EAD"/>
    <w:rsid w:val="009A5A12"/>
    <w:rsid w:val="009C7716"/>
    <w:rsid w:val="009D766F"/>
    <w:rsid w:val="009E011F"/>
    <w:rsid w:val="009F29A7"/>
    <w:rsid w:val="00A15AE3"/>
    <w:rsid w:val="00A26960"/>
    <w:rsid w:val="00A808F2"/>
    <w:rsid w:val="00AA6B0A"/>
    <w:rsid w:val="00AA744D"/>
    <w:rsid w:val="00AB09D2"/>
    <w:rsid w:val="00AB3488"/>
    <w:rsid w:val="00AD4BD9"/>
    <w:rsid w:val="00AE2E26"/>
    <w:rsid w:val="00AE6056"/>
    <w:rsid w:val="00B057A6"/>
    <w:rsid w:val="00B12347"/>
    <w:rsid w:val="00B2661C"/>
    <w:rsid w:val="00B30156"/>
    <w:rsid w:val="00B44A44"/>
    <w:rsid w:val="00B45205"/>
    <w:rsid w:val="00B46A16"/>
    <w:rsid w:val="00B65FB0"/>
    <w:rsid w:val="00B66A7A"/>
    <w:rsid w:val="00B76EAE"/>
    <w:rsid w:val="00B85644"/>
    <w:rsid w:val="00BB064C"/>
    <w:rsid w:val="00BB750A"/>
    <w:rsid w:val="00C0253A"/>
    <w:rsid w:val="00C073DA"/>
    <w:rsid w:val="00C078F6"/>
    <w:rsid w:val="00C21EB0"/>
    <w:rsid w:val="00C23060"/>
    <w:rsid w:val="00C30135"/>
    <w:rsid w:val="00C40AE6"/>
    <w:rsid w:val="00C47025"/>
    <w:rsid w:val="00C51145"/>
    <w:rsid w:val="00C83B20"/>
    <w:rsid w:val="00C91CA7"/>
    <w:rsid w:val="00C96C24"/>
    <w:rsid w:val="00CA1270"/>
    <w:rsid w:val="00CB76CB"/>
    <w:rsid w:val="00CC2A46"/>
    <w:rsid w:val="00CF1C75"/>
    <w:rsid w:val="00CF4E8E"/>
    <w:rsid w:val="00D007D0"/>
    <w:rsid w:val="00D04C83"/>
    <w:rsid w:val="00D225D1"/>
    <w:rsid w:val="00D336A4"/>
    <w:rsid w:val="00D60CA2"/>
    <w:rsid w:val="00D63786"/>
    <w:rsid w:val="00D71228"/>
    <w:rsid w:val="00D74770"/>
    <w:rsid w:val="00D74B8D"/>
    <w:rsid w:val="00D818B5"/>
    <w:rsid w:val="00D8258B"/>
    <w:rsid w:val="00DA34ED"/>
    <w:rsid w:val="00DC0917"/>
    <w:rsid w:val="00DD42F7"/>
    <w:rsid w:val="00DD4779"/>
    <w:rsid w:val="00DF22E4"/>
    <w:rsid w:val="00E00523"/>
    <w:rsid w:val="00E010C7"/>
    <w:rsid w:val="00E03975"/>
    <w:rsid w:val="00E112D1"/>
    <w:rsid w:val="00E26691"/>
    <w:rsid w:val="00E4653F"/>
    <w:rsid w:val="00E46B80"/>
    <w:rsid w:val="00E47E04"/>
    <w:rsid w:val="00E530F7"/>
    <w:rsid w:val="00E60D8D"/>
    <w:rsid w:val="00E91825"/>
    <w:rsid w:val="00EC7443"/>
    <w:rsid w:val="00F22948"/>
    <w:rsid w:val="00F34658"/>
    <w:rsid w:val="00F56439"/>
    <w:rsid w:val="00F75760"/>
    <w:rsid w:val="00F8206B"/>
    <w:rsid w:val="00F8354B"/>
    <w:rsid w:val="00FA2285"/>
    <w:rsid w:val="00FB16AD"/>
    <w:rsid w:val="00FC5D42"/>
    <w:rsid w:val="00FC65C9"/>
    <w:rsid w:val="00FF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B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BE2"/>
    <w:pPr>
      <w:spacing w:line="500" w:lineRule="exact"/>
    </w:pPr>
    <w:rPr>
      <w:rFonts w:eastAsia="DFKai-SB"/>
      <w:sz w:val="28"/>
    </w:rPr>
  </w:style>
  <w:style w:type="paragraph" w:styleId="Web">
    <w:name w:val="Normal (Web)"/>
    <w:basedOn w:val="a"/>
    <w:rsid w:val="00F34658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4">
    <w:name w:val="header"/>
    <w:basedOn w:val="a"/>
    <w:rsid w:val="008C7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8C7C0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DA3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A34E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B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BE2"/>
    <w:pPr>
      <w:spacing w:line="500" w:lineRule="exact"/>
    </w:pPr>
    <w:rPr>
      <w:rFonts w:eastAsia="DFKai-SB"/>
      <w:sz w:val="28"/>
    </w:rPr>
  </w:style>
  <w:style w:type="paragraph" w:styleId="a4">
    <w:name w:val="Normal (Web)"/>
    <w:basedOn w:val="a"/>
    <w:rsid w:val="00F34658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5">
    <w:name w:val="header"/>
    <w:basedOn w:val="a"/>
    <w:rsid w:val="008C7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8C7C0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"/>
    <w:rsid w:val="00DA3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7"/>
    <w:rsid w:val="00DA34E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9222">
          <w:marLeft w:val="0"/>
          <w:marRight w:val="0"/>
          <w:marTop w:val="15"/>
          <w:marBottom w:val="15"/>
          <w:divBdr>
            <w:top w:val="single" w:sz="48" w:space="0" w:color="F6F6F6"/>
            <w:left w:val="single" w:sz="48" w:space="0" w:color="F6F6F6"/>
            <w:bottom w:val="single" w:sz="48" w:space="0" w:color="F6F6F6"/>
            <w:right w:val="single" w:sz="48" w:space="0" w:color="F6F6F6"/>
          </w:divBdr>
          <w:divsChild>
            <w:div w:id="1056004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FDAE2"/>
                        <w:bottom w:val="single" w:sz="6" w:space="11" w:color="CFDAE2"/>
                        <w:right w:val="single" w:sz="6" w:space="0" w:color="CFDAE2"/>
                      </w:divBdr>
                      <w:divsChild>
                        <w:div w:id="5632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9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9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2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74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>CMT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各級學校與大陸地區學校締結聯盟或為書面約定之合作行為申報表</dc:title>
  <dc:creator>WinXP</dc:creator>
  <cp:lastModifiedBy>user</cp:lastModifiedBy>
  <cp:revision>4</cp:revision>
  <cp:lastPrinted>2012-10-22T06:10:00Z</cp:lastPrinted>
  <dcterms:created xsi:type="dcterms:W3CDTF">2014-07-09T01:23:00Z</dcterms:created>
  <dcterms:modified xsi:type="dcterms:W3CDTF">2014-07-31T02:18:00Z</dcterms:modified>
</cp:coreProperties>
</file>